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48493C">
        <w:rPr>
          <w:rFonts w:cstheme="minorHAnsi"/>
          <w:b/>
          <w:bCs/>
          <w:color w:val="000080"/>
          <w:sz w:val="36"/>
          <w:szCs w:val="36"/>
        </w:rPr>
        <w:t>Прогнозирование потребности в закупках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48493C">
        <w:rPr>
          <w:rFonts w:eastAsia="Times New Roman" w:cstheme="minorHAnsi"/>
          <w:b/>
          <w:color w:val="000000"/>
          <w:lang w:eastAsia="ru-RU"/>
        </w:rPr>
        <w:t xml:space="preserve"> </w:t>
      </w:r>
      <w:r w:rsidR="0048493C" w:rsidRPr="0048493C">
        <w:rPr>
          <w:rFonts w:eastAsia="Times New Roman" w:cstheme="minorHAnsi"/>
          <w:color w:val="000000"/>
          <w:lang w:eastAsia="ru-RU"/>
        </w:rPr>
        <w:t>2 дня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863" w:rsidRPr="00B34863">
        <w:rPr>
          <w:rFonts w:ascii="Cambria" w:eastAsia="Calibri" w:hAnsi="Cambria" w:cs="Times New Roman"/>
          <w:b/>
        </w:rPr>
        <w:t>Ольга Сергеевна Грязнова</w:t>
      </w:r>
    </w:p>
    <w:p w:rsidR="00BB7332" w:rsidRPr="00B35156" w:rsidRDefault="00BB733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48493C" w:rsidRPr="0048493C" w:rsidRDefault="00BB7332" w:rsidP="0048493C">
      <w:pPr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BB7332">
        <w:rPr>
          <w:rFonts w:cstheme="minorHAnsi"/>
          <w:b/>
        </w:rPr>
        <w:t>Целевая аудитория:</w:t>
      </w:r>
      <w:r w:rsidRPr="00BB7332">
        <w:rPr>
          <w:rFonts w:cstheme="minorHAnsi"/>
        </w:rPr>
        <w:t xml:space="preserve"> </w:t>
      </w:r>
      <w:r w:rsidR="0048493C" w:rsidRPr="0048493C">
        <w:rPr>
          <w:rFonts w:eastAsia="Times New Roman" w:cstheme="minorHAnsi"/>
          <w:bCs/>
          <w:lang w:eastAsia="ru-RU"/>
        </w:rPr>
        <w:t>Вам стоит посети</w:t>
      </w:r>
      <w:bookmarkStart w:id="0" w:name="_GoBack"/>
      <w:bookmarkEnd w:id="0"/>
      <w:r w:rsidR="0048493C" w:rsidRPr="0048493C">
        <w:rPr>
          <w:rFonts w:eastAsia="Times New Roman" w:cstheme="minorHAnsi"/>
          <w:bCs/>
          <w:lang w:eastAsia="ru-RU"/>
        </w:rPr>
        <w:t>ть данный тренинг в том случае, если:</w:t>
      </w:r>
    </w:p>
    <w:p w:rsidR="0048493C" w:rsidRPr="0048493C" w:rsidRDefault="0048493C" w:rsidP="0048493C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Вы понимаете, что существующего качества планирования / прогнозирования потребности уже не хватает.</w:t>
      </w:r>
    </w:p>
    <w:p w:rsidR="0048493C" w:rsidRPr="0048493C" w:rsidRDefault="0048493C" w:rsidP="0048493C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Перед Вами стоит задача систематизировать / автоматизировать технологии прогнозирования.</w:t>
      </w:r>
    </w:p>
    <w:p w:rsidR="0048493C" w:rsidRPr="0048493C" w:rsidRDefault="0048493C" w:rsidP="0048493C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 xml:space="preserve">Вы являетесь уверенным пользователем </w:t>
      </w:r>
      <w:r w:rsidRPr="0048493C">
        <w:rPr>
          <w:rFonts w:eastAsia="Times New Roman" w:cstheme="minorHAnsi"/>
          <w:lang w:val="en-US" w:eastAsia="ru-RU"/>
        </w:rPr>
        <w:t>Excel</w:t>
      </w:r>
      <w:r w:rsidRPr="0048493C">
        <w:rPr>
          <w:rFonts w:eastAsia="Times New Roman" w:cstheme="minorHAnsi"/>
          <w:lang w:eastAsia="ru-RU"/>
        </w:rPr>
        <w:t>.</w:t>
      </w:r>
    </w:p>
    <w:p w:rsidR="005B1045" w:rsidRDefault="005B1045" w:rsidP="0048493C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48493C" w:rsidRPr="0048493C" w:rsidRDefault="00BB7332" w:rsidP="0048493C">
      <w:pPr>
        <w:spacing w:after="0" w:line="240" w:lineRule="auto"/>
        <w:jc w:val="both"/>
        <w:rPr>
          <w:rFonts w:eastAsia="Times New Roman" w:cstheme="minorHAnsi"/>
          <w:bCs/>
          <w:lang w:eastAsia="ru-RU"/>
        </w:rPr>
      </w:pPr>
      <w:r w:rsidRPr="00BB7332">
        <w:rPr>
          <w:rFonts w:cstheme="minorHAnsi"/>
          <w:b/>
          <w:bCs/>
        </w:rPr>
        <w:t>Описание:</w:t>
      </w:r>
      <w:r w:rsidRPr="00BB7332">
        <w:rPr>
          <w:rFonts w:cstheme="minorHAnsi"/>
          <w:b/>
          <w:bCs/>
          <w:color w:val="000080"/>
        </w:rPr>
        <w:t xml:space="preserve"> </w:t>
      </w:r>
      <w:r w:rsidR="0048493C" w:rsidRPr="0048493C">
        <w:rPr>
          <w:rFonts w:eastAsia="Times New Roman" w:cstheme="minorHAnsi"/>
          <w:bCs/>
          <w:lang w:eastAsia="ru-RU"/>
        </w:rPr>
        <w:t xml:space="preserve">Прогнозирование спроса / потребности в товаре – это фундамент любой системы управления запасами. Если качество прогноза низкое, то будут проблемы и с неликвидами, и с дефицитами. Как следствие, пострадает уровень удовлетворения клиентов, и будут расти издержки от </w:t>
      </w:r>
      <w:proofErr w:type="spellStart"/>
      <w:r w:rsidR="0048493C" w:rsidRPr="0048493C">
        <w:rPr>
          <w:rFonts w:eastAsia="Times New Roman" w:cstheme="minorHAnsi"/>
          <w:bCs/>
          <w:lang w:eastAsia="ru-RU"/>
        </w:rPr>
        <w:t>перезатарки</w:t>
      </w:r>
      <w:proofErr w:type="spellEnd"/>
      <w:r w:rsidR="0048493C" w:rsidRPr="0048493C">
        <w:rPr>
          <w:rFonts w:eastAsia="Times New Roman" w:cstheme="minorHAnsi"/>
          <w:bCs/>
          <w:lang w:eastAsia="ru-RU"/>
        </w:rPr>
        <w:t xml:space="preserve"> складов. Поэтому, крайне важно повышать качество прогноза. </w:t>
      </w:r>
    </w:p>
    <w:p w:rsidR="0048493C" w:rsidRPr="0048493C" w:rsidRDefault="0048493C" w:rsidP="0048493C">
      <w:pPr>
        <w:spacing w:after="0" w:line="240" w:lineRule="auto"/>
        <w:jc w:val="both"/>
        <w:rPr>
          <w:rFonts w:eastAsia="Times New Roman" w:cstheme="minorHAnsi"/>
          <w:bCs/>
          <w:lang w:eastAsia="ru-RU"/>
        </w:rPr>
      </w:pPr>
      <w:r w:rsidRPr="0048493C">
        <w:rPr>
          <w:rFonts w:eastAsia="Times New Roman" w:cstheme="minorHAnsi"/>
          <w:bCs/>
          <w:lang w:eastAsia="ru-RU"/>
        </w:rPr>
        <w:t>В рамках тренинга будут предложены доступные инструменты статистического прогноза, которые дают максимально высокую точность при имеющейся вариации спроса.</w:t>
      </w:r>
    </w:p>
    <w:p w:rsidR="0048493C" w:rsidRPr="0048493C" w:rsidRDefault="0048493C" w:rsidP="0048493C">
      <w:pPr>
        <w:spacing w:after="0" w:line="240" w:lineRule="auto"/>
        <w:ind w:left="720"/>
        <w:jc w:val="both"/>
        <w:rPr>
          <w:rFonts w:eastAsia="Times New Roman" w:cstheme="minorHAnsi"/>
          <w:bCs/>
          <w:lang w:eastAsia="ru-RU"/>
        </w:rPr>
      </w:pPr>
    </w:p>
    <w:p w:rsidR="0048493C" w:rsidRPr="0048493C" w:rsidRDefault="0048493C" w:rsidP="0048493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 xml:space="preserve">В </w:t>
      </w:r>
      <w:r w:rsidRPr="0048493C">
        <w:rPr>
          <w:rFonts w:eastAsia="Times New Roman" w:cstheme="minorHAnsi"/>
          <w:bCs/>
          <w:lang w:eastAsia="ru-RU"/>
        </w:rPr>
        <w:t>процессе</w:t>
      </w:r>
      <w:r w:rsidRPr="0048493C">
        <w:rPr>
          <w:rFonts w:eastAsia="Times New Roman" w:cstheme="minorHAnsi"/>
          <w:lang w:eastAsia="ru-RU"/>
        </w:rPr>
        <w:t xml:space="preserve"> тренинга, участники отрабатывают навыки прогнозирования и проверяют работу предложенных моделей в </w:t>
      </w:r>
      <w:r w:rsidRPr="0048493C">
        <w:rPr>
          <w:rFonts w:eastAsia="Times New Roman" w:cstheme="minorHAnsi"/>
          <w:lang w:val="en-US" w:eastAsia="ru-RU"/>
        </w:rPr>
        <w:t>Excel</w:t>
      </w:r>
      <w:r w:rsidRPr="0048493C">
        <w:rPr>
          <w:rFonts w:eastAsia="Times New Roman" w:cstheme="minorHAnsi"/>
          <w:lang w:eastAsia="ru-RU"/>
        </w:rPr>
        <w:t>. Проделанная работа  позволяет упростить дальнейшую автоматизацию прогнозных моделей в информационной системе предприятия.</w:t>
      </w:r>
    </w:p>
    <w:p w:rsidR="0048493C" w:rsidRPr="0048493C" w:rsidRDefault="0048493C" w:rsidP="0048493C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48493C" w:rsidRPr="0048493C" w:rsidRDefault="0048493C" w:rsidP="0048493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 xml:space="preserve">На </w:t>
      </w:r>
      <w:r w:rsidRPr="0048493C">
        <w:rPr>
          <w:rFonts w:eastAsia="Times New Roman" w:cstheme="minorHAnsi"/>
          <w:bCs/>
          <w:lang w:eastAsia="ru-RU"/>
        </w:rPr>
        <w:t>тренинге</w:t>
      </w:r>
      <w:r w:rsidRPr="0048493C">
        <w:rPr>
          <w:rFonts w:eastAsia="Times New Roman" w:cstheme="minorHAnsi"/>
          <w:lang w:eastAsia="ru-RU"/>
        </w:rPr>
        <w:t xml:space="preserve"> будут проводиться практические занятия с использованием данных о движении товаров. Для этого всем участникам будут предоставлены соответствующие наборы данных, однако возможно использование своих рядов спроса. </w:t>
      </w:r>
      <w:r w:rsidRPr="0048493C">
        <w:rPr>
          <w:rFonts w:eastAsia="Times New Roman" w:cstheme="minorHAnsi"/>
          <w:highlight w:val="yellow"/>
          <w:lang w:eastAsia="ru-RU"/>
        </w:rPr>
        <w:t xml:space="preserve">Для этого необходимо иметь с собой в виде файла </w:t>
      </w:r>
      <w:r w:rsidRPr="0048493C">
        <w:rPr>
          <w:rFonts w:eastAsia="Times New Roman" w:cstheme="minorHAnsi"/>
          <w:highlight w:val="yellow"/>
          <w:lang w:val="en-US" w:eastAsia="ru-RU"/>
        </w:rPr>
        <w:t>Excel</w:t>
      </w:r>
      <w:r w:rsidRPr="0048493C">
        <w:rPr>
          <w:rFonts w:eastAsia="Times New Roman" w:cstheme="minorHAnsi"/>
          <w:highlight w:val="yellow"/>
          <w:lang w:eastAsia="ru-RU"/>
        </w:rPr>
        <w:t xml:space="preserve"> полную информацию об отгрузке группы товаров за 3 года в ежемесячном разрезе. Кроме этого, необходимо иметь данные об отгрузке одного товара из данной группы в разрезе: ежедневном, еженедельном, ежедекадном, ежемесячном. Эти данные необходимы для самостоятельной работы участнику и будут использоваться только им самим.</w:t>
      </w:r>
    </w:p>
    <w:p w:rsidR="00BB7332" w:rsidRDefault="00BB7332" w:rsidP="0048493C">
      <w:pPr>
        <w:spacing w:after="0" w:line="240" w:lineRule="auto"/>
        <w:jc w:val="both"/>
        <w:rPr>
          <w:rFonts w:cstheme="minorHAnsi"/>
          <w:b/>
          <w:bCs/>
        </w:rPr>
      </w:pPr>
    </w:p>
    <w:p w:rsidR="00BB7332" w:rsidRPr="00BB7332" w:rsidRDefault="00BB7332" w:rsidP="00BB7332">
      <w:pPr>
        <w:spacing w:after="0" w:line="240" w:lineRule="auto"/>
        <w:rPr>
          <w:rFonts w:cstheme="minorHAnsi"/>
          <w:b/>
          <w:bCs/>
        </w:rPr>
      </w:pPr>
      <w:r w:rsidRPr="00BB7332">
        <w:rPr>
          <w:rFonts w:cstheme="minorHAnsi"/>
          <w:b/>
          <w:bCs/>
        </w:rPr>
        <w:t xml:space="preserve">Цель </w:t>
      </w:r>
      <w:r w:rsidR="0048493C">
        <w:rPr>
          <w:rFonts w:cstheme="minorHAnsi"/>
          <w:b/>
          <w:bCs/>
        </w:rPr>
        <w:t>тренинга</w:t>
      </w:r>
      <w:r w:rsidRPr="00BB7332">
        <w:rPr>
          <w:rFonts w:cstheme="minorHAnsi"/>
          <w:b/>
          <w:bCs/>
        </w:rPr>
        <w:t xml:space="preserve">: </w:t>
      </w:r>
    </w:p>
    <w:p w:rsidR="0048493C" w:rsidRPr="0048493C" w:rsidRDefault="0048493C" w:rsidP="0048493C">
      <w:p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Получить знания и освоить навыки прогнозирования спроса, в том числе как:</w:t>
      </w:r>
    </w:p>
    <w:p w:rsidR="0048493C" w:rsidRPr="0048493C" w:rsidRDefault="0048493C" w:rsidP="0048493C">
      <w:pPr>
        <w:pStyle w:val="a4"/>
        <w:numPr>
          <w:ilvl w:val="0"/>
          <w:numId w:val="29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определять коэффициент сезонности;</w:t>
      </w:r>
    </w:p>
    <w:p w:rsidR="0048493C" w:rsidRPr="0048493C" w:rsidRDefault="0048493C" w:rsidP="0048493C">
      <w:pPr>
        <w:pStyle w:val="a4"/>
        <w:numPr>
          <w:ilvl w:val="0"/>
          <w:numId w:val="29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определять другие циклические составляющие;</w:t>
      </w:r>
    </w:p>
    <w:p w:rsidR="0048493C" w:rsidRPr="0048493C" w:rsidRDefault="0048493C" w:rsidP="0048493C">
      <w:pPr>
        <w:pStyle w:val="a4"/>
        <w:numPr>
          <w:ilvl w:val="0"/>
          <w:numId w:val="29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учитывать жизненный цикл продукта при построении прогноза;</w:t>
      </w:r>
    </w:p>
    <w:p w:rsidR="0048493C" w:rsidRPr="0048493C" w:rsidRDefault="0048493C" w:rsidP="0048493C">
      <w:pPr>
        <w:pStyle w:val="a4"/>
        <w:numPr>
          <w:ilvl w:val="0"/>
          <w:numId w:val="29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сформировать требования к прогнозной технологии, достаточной для Вашего бизнеса.</w:t>
      </w:r>
    </w:p>
    <w:p w:rsid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48493C" w:rsidRDefault="0048493C" w:rsidP="0048493C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cstheme="minorHAnsi"/>
          <w:b/>
          <w:bCs/>
          <w:color w:val="000080"/>
          <w:sz w:val="36"/>
          <w:szCs w:val="36"/>
        </w:rPr>
        <w:t>Прогнозирование потребности в закупках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B7332" w:rsidRPr="0048493C" w:rsidRDefault="00BB7332" w:rsidP="0048493C">
      <w:pPr>
        <w:spacing w:after="0" w:line="240" w:lineRule="auto"/>
        <w:rPr>
          <w:rFonts w:cstheme="minorHAnsi"/>
        </w:rPr>
      </w:pPr>
      <w:r w:rsidRPr="0048493C">
        <w:rPr>
          <w:rFonts w:eastAsia="SimSun" w:cstheme="minorHAnsi"/>
          <w:b/>
        </w:rPr>
        <w:t xml:space="preserve">1. </w:t>
      </w:r>
      <w:r w:rsidR="0048493C" w:rsidRPr="0048493C">
        <w:rPr>
          <w:rFonts w:eastAsia="Times New Roman" w:cstheme="minorHAnsi"/>
          <w:b/>
          <w:bCs/>
          <w:lang w:eastAsia="ru-RU"/>
        </w:rPr>
        <w:t>Виды прогнозов</w:t>
      </w:r>
      <w:r w:rsidRPr="0048493C">
        <w:rPr>
          <w:rFonts w:cstheme="minorHAnsi"/>
        </w:rPr>
        <w:t xml:space="preserve"> </w:t>
      </w:r>
    </w:p>
    <w:p w:rsidR="0048493C" w:rsidRPr="0048493C" w:rsidRDefault="0048493C" w:rsidP="0048493C">
      <w:pPr>
        <w:pStyle w:val="a4"/>
        <w:numPr>
          <w:ilvl w:val="0"/>
          <w:numId w:val="31"/>
        </w:numPr>
        <w:spacing w:after="0" w:line="240" w:lineRule="auto"/>
        <w:ind w:left="567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 xml:space="preserve">Методы прогнозирования для готовой продукции, </w:t>
      </w:r>
      <w:proofErr w:type="spellStart"/>
      <w:r w:rsidRPr="0048493C">
        <w:rPr>
          <w:rFonts w:eastAsia="Times New Roman" w:cstheme="minorHAnsi"/>
          <w:lang w:eastAsia="ru-RU"/>
        </w:rPr>
        <w:t>сырья</w:t>
      </w:r>
      <w:proofErr w:type="gramStart"/>
      <w:r w:rsidRPr="0048493C">
        <w:rPr>
          <w:rFonts w:eastAsia="Times New Roman" w:cstheme="minorHAnsi"/>
          <w:lang w:eastAsia="ru-RU"/>
        </w:rPr>
        <w:t>,к</w:t>
      </w:r>
      <w:proofErr w:type="gramEnd"/>
      <w:r w:rsidRPr="0048493C">
        <w:rPr>
          <w:rFonts w:eastAsia="Times New Roman" w:cstheme="minorHAnsi"/>
          <w:lang w:eastAsia="ru-RU"/>
        </w:rPr>
        <w:t>омплектующих</w:t>
      </w:r>
      <w:proofErr w:type="spellEnd"/>
      <w:r w:rsidRPr="0048493C">
        <w:rPr>
          <w:rFonts w:eastAsia="Times New Roman" w:cstheme="minorHAnsi"/>
          <w:lang w:eastAsia="ru-RU"/>
        </w:rPr>
        <w:t>, вспомогательных и обеспечивающих  материалов.</w:t>
      </w:r>
    </w:p>
    <w:p w:rsidR="0048493C" w:rsidRPr="0048493C" w:rsidRDefault="0048493C" w:rsidP="0048493C">
      <w:pPr>
        <w:pStyle w:val="a4"/>
        <w:numPr>
          <w:ilvl w:val="0"/>
          <w:numId w:val="31"/>
        </w:numPr>
        <w:spacing w:after="0" w:line="240" w:lineRule="auto"/>
        <w:ind w:left="567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Статистические и экспертные методы прогнозирования. Преимущества и недостатки.</w:t>
      </w:r>
    </w:p>
    <w:p w:rsidR="0048493C" w:rsidRPr="0048493C" w:rsidRDefault="0048493C" w:rsidP="0048493C">
      <w:pPr>
        <w:pStyle w:val="a4"/>
        <w:numPr>
          <w:ilvl w:val="0"/>
          <w:numId w:val="31"/>
        </w:numPr>
        <w:spacing w:after="0" w:line="240" w:lineRule="auto"/>
        <w:ind w:left="567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 xml:space="preserve">Классификация прогнозных моделей от </w:t>
      </w:r>
      <w:proofErr w:type="gramStart"/>
      <w:r w:rsidRPr="0048493C">
        <w:rPr>
          <w:rFonts w:eastAsia="Times New Roman" w:cstheme="minorHAnsi"/>
          <w:lang w:eastAsia="ru-RU"/>
        </w:rPr>
        <w:t>простого</w:t>
      </w:r>
      <w:proofErr w:type="gramEnd"/>
      <w:r w:rsidRPr="0048493C">
        <w:rPr>
          <w:rFonts w:eastAsia="Times New Roman" w:cstheme="minorHAnsi"/>
          <w:lang w:eastAsia="ru-RU"/>
        </w:rPr>
        <w:t xml:space="preserve"> к сложному.</w:t>
      </w:r>
    </w:p>
    <w:p w:rsidR="0048493C" w:rsidRPr="0048493C" w:rsidRDefault="0048493C" w:rsidP="0048493C">
      <w:pPr>
        <w:pStyle w:val="a4"/>
        <w:numPr>
          <w:ilvl w:val="0"/>
          <w:numId w:val="31"/>
        </w:numPr>
        <w:spacing w:after="0" w:line="240" w:lineRule="auto"/>
        <w:ind w:left="567"/>
        <w:jc w:val="both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Допустимая точность прогноза для разных групп ТМЦ в зависимости от специфики потребления (спроса).</w:t>
      </w:r>
    </w:p>
    <w:p w:rsidR="005B1045" w:rsidRPr="0048493C" w:rsidRDefault="0048493C" w:rsidP="0048493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567"/>
        <w:textAlignment w:val="baseline"/>
        <w:rPr>
          <w:rFonts w:cstheme="minorHAnsi"/>
        </w:rPr>
      </w:pPr>
      <w:r w:rsidRPr="0048493C">
        <w:rPr>
          <w:rFonts w:ascii="Cambria" w:eastAsia="Times New Roman" w:hAnsi="Cambria" w:cs="Arial"/>
          <w:b/>
          <w:lang w:eastAsia="ru-RU"/>
        </w:rPr>
        <w:t>Составляющие прогнозной модели статистического прогноза</w:t>
      </w:r>
    </w:p>
    <w:p w:rsidR="0048493C" w:rsidRDefault="0048493C" w:rsidP="00BB7332">
      <w:pPr>
        <w:shd w:val="clear" w:color="auto" w:fill="FFFFFF"/>
        <w:spacing w:after="0" w:line="240" w:lineRule="auto"/>
        <w:textAlignment w:val="baseline"/>
        <w:rPr>
          <w:rFonts w:eastAsia="SimSun" w:cstheme="minorHAnsi"/>
          <w:b/>
          <w:bCs/>
        </w:rPr>
      </w:pPr>
    </w:p>
    <w:p w:rsidR="0048493C" w:rsidRPr="0048493C" w:rsidRDefault="0048493C" w:rsidP="0048493C">
      <w:pPr>
        <w:spacing w:after="0" w:line="240" w:lineRule="auto"/>
        <w:jc w:val="both"/>
        <w:rPr>
          <w:rFonts w:eastAsia="SimSun" w:cstheme="minorHAnsi"/>
        </w:rPr>
      </w:pPr>
      <w:r w:rsidRPr="0048493C">
        <w:rPr>
          <w:rFonts w:eastAsia="Times New Roman" w:cstheme="minorHAnsi"/>
          <w:b/>
          <w:lang w:eastAsia="ru-RU"/>
        </w:rPr>
        <w:lastRenderedPageBreak/>
        <w:t>2. Прогнозы на основе средних значений</w:t>
      </w:r>
      <w:r w:rsidRPr="0048493C">
        <w:rPr>
          <w:rFonts w:eastAsia="SimSun" w:cstheme="minorHAnsi"/>
        </w:rPr>
        <w:t xml:space="preserve"> </w:t>
      </w:r>
    </w:p>
    <w:p w:rsidR="0048493C" w:rsidRPr="0048493C" w:rsidRDefault="0048493C" w:rsidP="0048493C">
      <w:pPr>
        <w:pStyle w:val="a4"/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Виды прогнозов, основанных на средних значениях.</w:t>
      </w:r>
    </w:p>
    <w:p w:rsidR="00BB7332" w:rsidRPr="0048493C" w:rsidRDefault="0048493C" w:rsidP="0048493C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Преимущества и недостатки.</w:t>
      </w:r>
    </w:p>
    <w:p w:rsidR="0048493C" w:rsidRDefault="0048493C" w:rsidP="0048493C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BB7332" w:rsidRPr="0048493C" w:rsidRDefault="00BB7332" w:rsidP="0048493C">
      <w:pPr>
        <w:shd w:val="clear" w:color="auto" w:fill="FFFFFF"/>
        <w:spacing w:after="0" w:line="240" w:lineRule="auto"/>
        <w:textAlignment w:val="baseline"/>
        <w:rPr>
          <w:rFonts w:eastAsia="SimSun" w:cstheme="minorHAnsi"/>
          <w:b/>
          <w:bCs/>
        </w:rPr>
      </w:pPr>
      <w:r w:rsidRPr="0048493C">
        <w:rPr>
          <w:rFonts w:eastAsia="SimSun" w:cstheme="minorHAnsi"/>
          <w:b/>
          <w:bCs/>
        </w:rPr>
        <w:t xml:space="preserve">3. </w:t>
      </w:r>
      <w:r w:rsidR="0048493C" w:rsidRPr="0048493C">
        <w:rPr>
          <w:rFonts w:eastAsia="Times New Roman" w:cstheme="minorHAnsi"/>
          <w:b/>
          <w:bCs/>
          <w:lang w:eastAsia="ru-RU"/>
        </w:rPr>
        <w:t>Выявление тенденции (тренда)</w:t>
      </w:r>
    </w:p>
    <w:p w:rsidR="0048493C" w:rsidRPr="0048493C" w:rsidRDefault="0048493C" w:rsidP="0048493C">
      <w:pPr>
        <w:pStyle w:val="a4"/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Виды тенденций. Технологии их выявления и описания</w:t>
      </w:r>
    </w:p>
    <w:p w:rsidR="00BB7332" w:rsidRPr="0048493C" w:rsidRDefault="0048493C" w:rsidP="0048493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Подбор тенденции для построения прогноза с учетом поведения временного ряда.</w:t>
      </w:r>
    </w:p>
    <w:p w:rsidR="0048493C" w:rsidRDefault="0048493C" w:rsidP="0048493C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BB7332" w:rsidRPr="0048493C" w:rsidRDefault="00BB7332" w:rsidP="0048493C">
      <w:pPr>
        <w:shd w:val="clear" w:color="auto" w:fill="FFFFFF"/>
        <w:spacing w:after="0" w:line="240" w:lineRule="auto"/>
        <w:textAlignment w:val="baseline"/>
        <w:rPr>
          <w:rFonts w:eastAsia="SimSun" w:cstheme="minorHAnsi"/>
          <w:b/>
          <w:bCs/>
        </w:rPr>
      </w:pPr>
      <w:r w:rsidRPr="0048493C">
        <w:rPr>
          <w:rFonts w:eastAsia="SimSun" w:cstheme="minorHAnsi"/>
          <w:b/>
          <w:bCs/>
        </w:rPr>
        <w:t xml:space="preserve">4. </w:t>
      </w:r>
      <w:r w:rsidR="0048493C" w:rsidRPr="0048493C">
        <w:rPr>
          <w:rFonts w:eastAsia="Times New Roman" w:cstheme="minorHAnsi"/>
          <w:b/>
          <w:bCs/>
          <w:lang w:eastAsia="ru-RU"/>
        </w:rPr>
        <w:t>Выявление коэффициента сезонности / цикличности</w:t>
      </w:r>
    </w:p>
    <w:p w:rsidR="0048493C" w:rsidRPr="0048493C" w:rsidRDefault="0048493C" w:rsidP="0048493C">
      <w:pPr>
        <w:pStyle w:val="a4"/>
        <w:numPr>
          <w:ilvl w:val="0"/>
          <w:numId w:val="35"/>
        </w:numPr>
        <w:spacing w:after="0" w:line="240" w:lineRule="auto"/>
        <w:rPr>
          <w:rFonts w:eastAsia="Times New Roman" w:cstheme="minorHAnsi"/>
          <w:bCs/>
          <w:lang w:eastAsia="ru-RU"/>
        </w:rPr>
      </w:pPr>
      <w:r w:rsidRPr="0048493C">
        <w:rPr>
          <w:rFonts w:eastAsia="Times New Roman" w:cstheme="minorHAnsi"/>
          <w:bCs/>
          <w:lang w:eastAsia="ru-RU"/>
        </w:rPr>
        <w:t>Методы расчета коэффициента  цикличности.</w:t>
      </w:r>
    </w:p>
    <w:p w:rsidR="0048493C" w:rsidRPr="0048493C" w:rsidRDefault="0048493C" w:rsidP="0048493C">
      <w:pPr>
        <w:pStyle w:val="a4"/>
        <w:numPr>
          <w:ilvl w:val="0"/>
          <w:numId w:val="35"/>
        </w:numPr>
        <w:spacing w:after="0" w:line="240" w:lineRule="auto"/>
        <w:rPr>
          <w:rFonts w:eastAsia="Times New Roman" w:cstheme="minorHAnsi"/>
          <w:bCs/>
          <w:lang w:eastAsia="ru-RU"/>
        </w:rPr>
      </w:pPr>
      <w:r w:rsidRPr="0048493C">
        <w:rPr>
          <w:rFonts w:eastAsia="Times New Roman" w:cstheme="minorHAnsi"/>
          <w:bCs/>
          <w:lang w:eastAsia="ru-RU"/>
        </w:rPr>
        <w:t>Сезонность, как частный случай цикличности</w:t>
      </w:r>
    </w:p>
    <w:p w:rsidR="00BB7332" w:rsidRPr="0048493C" w:rsidRDefault="0048493C" w:rsidP="0048493C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48493C">
        <w:rPr>
          <w:rFonts w:eastAsia="Times New Roman" w:cstheme="minorHAnsi"/>
          <w:bCs/>
          <w:lang w:eastAsia="ru-RU"/>
        </w:rPr>
        <w:t>Возможности применения различных методов выявления сезонности.</w:t>
      </w:r>
    </w:p>
    <w:p w:rsidR="0048493C" w:rsidRDefault="0048493C" w:rsidP="00BB7332">
      <w:pPr>
        <w:spacing w:after="0" w:line="240" w:lineRule="auto"/>
        <w:rPr>
          <w:rFonts w:eastAsia="SimSun" w:cstheme="minorHAnsi"/>
          <w:b/>
          <w:bCs/>
        </w:rPr>
      </w:pPr>
    </w:p>
    <w:p w:rsidR="00BB7332" w:rsidRPr="00BB7332" w:rsidRDefault="00BB7332" w:rsidP="0048493C">
      <w:pPr>
        <w:spacing w:after="0" w:line="240" w:lineRule="auto"/>
        <w:rPr>
          <w:rFonts w:eastAsia="SimSun" w:cstheme="minorHAnsi"/>
          <w:b/>
          <w:bCs/>
        </w:rPr>
      </w:pPr>
      <w:r w:rsidRPr="00BB7332">
        <w:rPr>
          <w:rFonts w:eastAsia="SimSun" w:cstheme="minorHAnsi"/>
          <w:b/>
          <w:bCs/>
        </w:rPr>
        <w:t xml:space="preserve">5. </w:t>
      </w:r>
      <w:r w:rsidR="0048493C" w:rsidRPr="00366C21">
        <w:rPr>
          <w:rFonts w:ascii="Cambria" w:eastAsia="Times New Roman" w:hAnsi="Cambria" w:cs="Arial"/>
          <w:b/>
          <w:bCs/>
          <w:lang w:eastAsia="ru-RU"/>
        </w:rPr>
        <w:t>Построение прогноза и оценка его качества</w:t>
      </w:r>
    </w:p>
    <w:p w:rsidR="0048493C" w:rsidRPr="0048493C" w:rsidRDefault="0048493C" w:rsidP="0048493C">
      <w:pPr>
        <w:pStyle w:val="a4"/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Последовательность операций по построению прогноза.</w:t>
      </w:r>
    </w:p>
    <w:p w:rsidR="0048493C" w:rsidRPr="0048493C" w:rsidRDefault="0048493C" w:rsidP="0048493C">
      <w:pPr>
        <w:pStyle w:val="a4"/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Подбор соответствующих методик.</w:t>
      </w:r>
    </w:p>
    <w:p w:rsidR="0048493C" w:rsidRPr="0048493C" w:rsidRDefault="0048493C" w:rsidP="0048493C">
      <w:pPr>
        <w:pStyle w:val="a4"/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Способы оценки качества прогноза, периодичность оценки. Допустимая точность.</w:t>
      </w:r>
    </w:p>
    <w:p w:rsidR="0048493C" w:rsidRPr="0048493C" w:rsidRDefault="0048493C" w:rsidP="0048493C">
      <w:pPr>
        <w:pStyle w:val="a4"/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>Методы увеличения точности прогнозов.</w:t>
      </w:r>
    </w:p>
    <w:p w:rsidR="0048493C" w:rsidRPr="0048493C" w:rsidRDefault="0048493C" w:rsidP="0048493C">
      <w:pPr>
        <w:pStyle w:val="a4"/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ru-RU"/>
        </w:rPr>
      </w:pPr>
      <w:r w:rsidRPr="0048493C">
        <w:rPr>
          <w:rFonts w:eastAsia="Times New Roman" w:cstheme="minorHAnsi"/>
          <w:lang w:eastAsia="ru-RU"/>
        </w:rPr>
        <w:t xml:space="preserve">Прогнозирование в кризис – </w:t>
      </w:r>
      <w:r w:rsidRPr="0048493C">
        <w:rPr>
          <w:rFonts w:eastAsia="Times New Roman" w:cstheme="minorHAnsi"/>
          <w:bCs/>
          <w:lang w:eastAsia="ru-RU"/>
        </w:rPr>
        <w:t>простой в реализации метод прогнозирования с учётом сезонности и меняющегося тренда.</w:t>
      </w:r>
    </w:p>
    <w:p w:rsidR="00D660E2" w:rsidRPr="0048493C" w:rsidRDefault="0048493C" w:rsidP="0048493C">
      <w:pPr>
        <w:pStyle w:val="a4"/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  <w:color w:val="000080"/>
        </w:rPr>
      </w:pPr>
      <w:r w:rsidRPr="0048493C">
        <w:rPr>
          <w:rFonts w:eastAsia="Times New Roman" w:cstheme="minorHAnsi"/>
          <w:lang w:eastAsia="ru-RU"/>
        </w:rPr>
        <w:t>Знакомство с методом DELFI и отработка расчётов в нём.</w:t>
      </w:r>
    </w:p>
    <w:p w:rsidR="0048493C" w:rsidRPr="0048493C" w:rsidRDefault="0048493C" w:rsidP="0048493C">
      <w:pPr>
        <w:pStyle w:val="a4"/>
        <w:spacing w:after="0" w:line="240" w:lineRule="auto"/>
        <w:jc w:val="both"/>
        <w:rPr>
          <w:rFonts w:cstheme="minorHAnsi"/>
          <w:b/>
          <w:color w:val="000080"/>
        </w:rPr>
      </w:pPr>
    </w:p>
    <w:p w:rsidR="00D660E2" w:rsidRPr="00D660E2" w:rsidRDefault="00D660E2" w:rsidP="00D660E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sectPr w:rsidR="00D660E2" w:rsidRPr="00D660E2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6C117F"/>
    <w:multiLevelType w:val="hybridMultilevel"/>
    <w:tmpl w:val="1B62BD5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83CEC"/>
    <w:multiLevelType w:val="hybridMultilevel"/>
    <w:tmpl w:val="061CD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7B"/>
    <w:multiLevelType w:val="hybridMultilevel"/>
    <w:tmpl w:val="BFE4288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41A9B"/>
    <w:multiLevelType w:val="hybridMultilevel"/>
    <w:tmpl w:val="DEEA5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7063C"/>
    <w:multiLevelType w:val="hybridMultilevel"/>
    <w:tmpl w:val="D9AEA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382025"/>
    <w:multiLevelType w:val="hybridMultilevel"/>
    <w:tmpl w:val="B94C12C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727D4C"/>
    <w:multiLevelType w:val="hybridMultilevel"/>
    <w:tmpl w:val="2BC2F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B8E3301"/>
    <w:multiLevelType w:val="hybridMultilevel"/>
    <w:tmpl w:val="E81E6DA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942DC"/>
    <w:multiLevelType w:val="hybridMultilevel"/>
    <w:tmpl w:val="1B2C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2D0C5C"/>
    <w:multiLevelType w:val="hybridMultilevel"/>
    <w:tmpl w:val="B7B4E2EA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C5B79"/>
    <w:multiLevelType w:val="hybridMultilevel"/>
    <w:tmpl w:val="D0C0F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09A0B5A"/>
    <w:multiLevelType w:val="hybridMultilevel"/>
    <w:tmpl w:val="571899D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260DB2"/>
    <w:multiLevelType w:val="hybridMultilevel"/>
    <w:tmpl w:val="2CDC5C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2765"/>
    <w:multiLevelType w:val="hybridMultilevel"/>
    <w:tmpl w:val="1420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41D0C"/>
    <w:multiLevelType w:val="hybridMultilevel"/>
    <w:tmpl w:val="0AD84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D70D3F"/>
    <w:multiLevelType w:val="hybridMultilevel"/>
    <w:tmpl w:val="BFFA5706"/>
    <w:lvl w:ilvl="0" w:tplc="DE2CD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4"/>
  </w:num>
  <w:num w:numId="5">
    <w:abstractNumId w:val="6"/>
  </w:num>
  <w:num w:numId="6">
    <w:abstractNumId w:val="13"/>
  </w:num>
  <w:num w:numId="7">
    <w:abstractNumId w:val="17"/>
  </w:num>
  <w:num w:numId="8">
    <w:abstractNumId w:val="10"/>
  </w:num>
  <w:num w:numId="9">
    <w:abstractNumId w:val="3"/>
  </w:num>
  <w:num w:numId="10">
    <w:abstractNumId w:val="30"/>
  </w:num>
  <w:num w:numId="11">
    <w:abstractNumId w:val="1"/>
  </w:num>
  <w:num w:numId="12">
    <w:abstractNumId w:val="26"/>
  </w:num>
  <w:num w:numId="13">
    <w:abstractNumId w:val="20"/>
  </w:num>
  <w:num w:numId="14">
    <w:abstractNumId w:val="24"/>
  </w:num>
  <w:num w:numId="15">
    <w:abstractNumId w:val="5"/>
  </w:num>
  <w:num w:numId="16">
    <w:abstractNumId w:val="28"/>
  </w:num>
  <w:num w:numId="17">
    <w:abstractNumId w:val="9"/>
  </w:num>
  <w:num w:numId="18">
    <w:abstractNumId w:val="35"/>
  </w:num>
  <w:num w:numId="19">
    <w:abstractNumId w:val="15"/>
  </w:num>
  <w:num w:numId="20">
    <w:abstractNumId w:val="32"/>
  </w:num>
  <w:num w:numId="21">
    <w:abstractNumId w:val="8"/>
  </w:num>
  <w:num w:numId="22">
    <w:abstractNumId w:val="33"/>
  </w:num>
  <w:num w:numId="23">
    <w:abstractNumId w:val="22"/>
  </w:num>
  <w:num w:numId="24">
    <w:abstractNumId w:val="16"/>
  </w:num>
  <w:num w:numId="25">
    <w:abstractNumId w:val="19"/>
  </w:num>
  <w:num w:numId="26">
    <w:abstractNumId w:val="12"/>
  </w:num>
  <w:num w:numId="27">
    <w:abstractNumId w:val="14"/>
  </w:num>
  <w:num w:numId="28">
    <w:abstractNumId w:val="31"/>
  </w:num>
  <w:num w:numId="29">
    <w:abstractNumId w:val="11"/>
  </w:num>
  <w:num w:numId="30">
    <w:abstractNumId w:val="29"/>
  </w:num>
  <w:num w:numId="31">
    <w:abstractNumId w:val="34"/>
  </w:num>
  <w:num w:numId="32">
    <w:abstractNumId w:val="25"/>
  </w:num>
  <w:num w:numId="33">
    <w:abstractNumId w:val="21"/>
  </w:num>
  <w:num w:numId="34">
    <w:abstractNumId w:val="23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D5AE3"/>
    <w:rsid w:val="00246934"/>
    <w:rsid w:val="00256187"/>
    <w:rsid w:val="002E4249"/>
    <w:rsid w:val="002E72A1"/>
    <w:rsid w:val="0048493C"/>
    <w:rsid w:val="0048743B"/>
    <w:rsid w:val="00514B80"/>
    <w:rsid w:val="005B1045"/>
    <w:rsid w:val="008C7938"/>
    <w:rsid w:val="009E153F"/>
    <w:rsid w:val="00A24016"/>
    <w:rsid w:val="00AF4C24"/>
    <w:rsid w:val="00B34863"/>
    <w:rsid w:val="00B35156"/>
    <w:rsid w:val="00BB7332"/>
    <w:rsid w:val="00C55109"/>
    <w:rsid w:val="00CA0F18"/>
    <w:rsid w:val="00D660E2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2014-12-09T09:14:00Z</dcterms:created>
  <dcterms:modified xsi:type="dcterms:W3CDTF">2015-01-20T11:08:00Z</dcterms:modified>
</cp:coreProperties>
</file>