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550B9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Учетная политика предприятия: выбор и применение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CB17DF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85612B" w:rsidRPr="0085612B">
        <w:rPr>
          <w:rFonts w:eastAsia="Times New Roman" w:cstheme="minorHAnsi"/>
          <w:color w:val="000000"/>
          <w:lang w:eastAsia="ru-RU"/>
        </w:rPr>
        <w:t>16 академических часов – 2дня</w:t>
      </w:r>
    </w:p>
    <w:p w:rsidR="00B35156" w:rsidRPr="00B35156" w:rsidRDefault="001B58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1B582A">
        <w:rPr>
          <w:rFonts w:eastAsia="Times New Roman" w:cstheme="minorHAnsi"/>
          <w:b/>
          <w:color w:val="000000"/>
          <w:lang w:eastAsia="ru-RU"/>
        </w:rPr>
        <w:t xml:space="preserve">Лектор: </w:t>
      </w:r>
      <w:bookmarkStart w:id="0" w:name="_GoBack"/>
      <w:r w:rsidRPr="001B582A">
        <w:rPr>
          <w:rFonts w:eastAsia="Times New Roman" w:cstheme="minorHAnsi"/>
          <w:color w:val="000000"/>
          <w:lang w:eastAsia="ru-RU"/>
        </w:rPr>
        <w:t>Михалева Елена Владимировна, Пасько Елена.</w:t>
      </w:r>
      <w:bookmarkEnd w:id="0"/>
    </w:p>
    <w:p w:rsidR="00B35156" w:rsidRPr="0085612B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5612B" w:rsidRPr="0085612B">
        <w:t xml:space="preserve"> </w:t>
      </w:r>
      <w:r w:rsidR="0085612B">
        <w:rPr>
          <w:rFonts w:eastAsia="Times New Roman" w:cstheme="minorHAnsi"/>
          <w:color w:val="000000"/>
          <w:lang w:eastAsia="ru-RU"/>
        </w:rPr>
        <w:t>главные бухгалтера, специалисты</w:t>
      </w:r>
      <w:r w:rsidR="0085612B" w:rsidRPr="0085612B">
        <w:rPr>
          <w:rFonts w:eastAsia="Times New Roman" w:cstheme="minorHAnsi"/>
          <w:color w:val="000000"/>
          <w:lang w:eastAsia="ru-RU"/>
        </w:rPr>
        <w:t xml:space="preserve"> бухгалтерск</w:t>
      </w:r>
      <w:r w:rsidR="0085612B">
        <w:rPr>
          <w:rFonts w:eastAsia="Times New Roman" w:cstheme="minorHAnsi"/>
          <w:color w:val="000000"/>
          <w:lang w:eastAsia="ru-RU"/>
        </w:rPr>
        <w:t>их и финансовых служб, аудиторы и другие пользователи</w:t>
      </w:r>
      <w:r w:rsidR="0085612B" w:rsidRPr="0085612B">
        <w:rPr>
          <w:rFonts w:eastAsia="Times New Roman" w:cstheme="minorHAnsi"/>
          <w:color w:val="000000"/>
          <w:lang w:eastAsia="ru-RU"/>
        </w:rPr>
        <w:t xml:space="preserve"> бухгалтерской отчетности.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85612B" w:rsidRPr="0085612B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>- получить знания, умения и навыки разработки учетной политики на предприятии с целью повышения ее эффективности для оптимизации налогообложения</w:t>
      </w:r>
    </w:p>
    <w:p w:rsidR="0085612B" w:rsidRPr="0085612B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>- актуализировать профессиональные умения и навыки</w:t>
      </w:r>
    </w:p>
    <w:p w:rsidR="0085612B" w:rsidRPr="0085612B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>- обсудить законодательные изменения в бухгалтерском учете и налогообложении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Разобраться в многочисленных изменениях и отразить в учетной политике как уже действующие новые требования, так и в</w:t>
      </w:r>
      <w:r w:rsidRPr="00CC4300">
        <w:rPr>
          <w:rFonts w:eastAsia="Times New Roman" w:cstheme="minorHAnsi"/>
          <w:color w:val="000000"/>
          <w:lang w:eastAsia="ru-RU"/>
        </w:rPr>
        <w:t>ступающие в силу с 1 января 2015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г.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учетных политик 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ответы эксперта по своей ситуации; </w:t>
      </w:r>
    </w:p>
    <w:p w:rsidR="00B35156" w:rsidRPr="00CC4300" w:rsidRDefault="00CC4300" w:rsidP="00CC4300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Подготовиться к проверкам, избежать претензий и штрафов налоговой службы.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B35156" w:rsidRDefault="00CA0F18" w:rsidP="008C0D70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550B9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Учетная политика предприятия: выбор и применение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8C0D70" w:rsidRPr="008C0D70" w:rsidRDefault="008C0D70" w:rsidP="008C0D70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lang w:eastAsia="ru-RU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50B9E" w:rsidRPr="00550B9E" w:rsidRDefault="00550B9E" w:rsidP="00550B9E">
      <w:pPr>
        <w:pStyle w:val="a5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B9E">
        <w:rPr>
          <w:rFonts w:asciiTheme="minorHAnsi" w:hAnsiTheme="minorHAnsi" w:cstheme="minorHAnsi"/>
          <w:b/>
          <w:sz w:val="22"/>
          <w:szCs w:val="22"/>
        </w:rPr>
        <w:t>Учетная политика компании в условиях работы по национальным и международным стандартам финансовой отчетности</w:t>
      </w:r>
    </w:p>
    <w:p w:rsidR="00550B9E" w:rsidRPr="00550B9E" w:rsidRDefault="00550B9E" w:rsidP="00550B9E">
      <w:pPr>
        <w:pStyle w:val="a5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0B9E">
        <w:rPr>
          <w:rFonts w:asciiTheme="minorHAnsi" w:hAnsiTheme="minorHAnsi" w:cstheme="minorHAnsi"/>
          <w:sz w:val="22"/>
          <w:szCs w:val="22"/>
        </w:rPr>
        <w:t>Учетная политика – правила и процедуры, применяемые при составлении финансовой отчетности. Нормативная база для формирования учетной политики. НСФО 2 и МСФО. Последовательность учетной политики. Изменения учетной политики. Ретроспективное применение. Раскрытие информации при составлении и представлении финансовой отчетности.</w:t>
      </w:r>
    </w:p>
    <w:p w:rsidR="00550B9E" w:rsidRPr="00550B9E" w:rsidRDefault="00550B9E" w:rsidP="00550B9E">
      <w:pPr>
        <w:pStyle w:val="a5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50B9E">
        <w:rPr>
          <w:rFonts w:asciiTheme="minorHAnsi" w:hAnsiTheme="minorHAnsi" w:cstheme="minorHAnsi"/>
          <w:b/>
          <w:sz w:val="22"/>
          <w:szCs w:val="22"/>
        </w:rPr>
        <w:t>Разделы учетной политики:</w:t>
      </w:r>
    </w:p>
    <w:p w:rsidR="00550B9E" w:rsidRPr="001B7EB0" w:rsidRDefault="00550B9E" w:rsidP="00550B9E">
      <w:pPr>
        <w:pStyle w:val="a5"/>
        <w:spacing w:after="0"/>
        <w:ind w:left="0"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7EB0">
        <w:rPr>
          <w:rFonts w:asciiTheme="minorHAnsi" w:hAnsiTheme="minorHAnsi" w:cstheme="minorHAnsi"/>
          <w:b/>
          <w:sz w:val="22"/>
          <w:szCs w:val="22"/>
        </w:rPr>
        <w:t>2а. Общие положения</w:t>
      </w:r>
    </w:p>
    <w:p w:rsidR="00550B9E" w:rsidRPr="00550B9E" w:rsidRDefault="00550B9E" w:rsidP="001B7EB0">
      <w:pPr>
        <w:pStyle w:val="a5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0B9E">
        <w:rPr>
          <w:rFonts w:asciiTheme="minorHAnsi" w:hAnsiTheme="minorHAnsi" w:cstheme="minorHAnsi"/>
          <w:sz w:val="22"/>
          <w:szCs w:val="22"/>
        </w:rPr>
        <w:t xml:space="preserve">Введение и система понятий (глоссарий). Общая информация о компании. Организация учетной работы. Форма бухгалтерского учета и технология обработки информации. Первичные документы и организация документооборота. Внутренний контроль </w:t>
      </w:r>
    </w:p>
    <w:p w:rsidR="00550B9E" w:rsidRPr="001B7EB0" w:rsidRDefault="00550B9E" w:rsidP="001B7EB0">
      <w:pPr>
        <w:pStyle w:val="a5"/>
        <w:spacing w:after="0"/>
        <w:ind w:left="75" w:firstLine="285"/>
        <w:rPr>
          <w:rFonts w:asciiTheme="minorHAnsi" w:hAnsiTheme="minorHAnsi" w:cstheme="minorHAnsi"/>
          <w:b/>
          <w:sz w:val="22"/>
          <w:szCs w:val="22"/>
        </w:rPr>
      </w:pPr>
      <w:r w:rsidRPr="001B7EB0">
        <w:rPr>
          <w:rFonts w:asciiTheme="minorHAnsi" w:hAnsiTheme="minorHAnsi" w:cstheme="minorHAnsi"/>
          <w:b/>
          <w:sz w:val="22"/>
          <w:szCs w:val="22"/>
        </w:rPr>
        <w:t>2б. Общие учетные принципы:</w:t>
      </w:r>
    </w:p>
    <w:p w:rsidR="00550B9E" w:rsidRPr="001B7EB0" w:rsidRDefault="00550B9E" w:rsidP="00550B9E">
      <w:pPr>
        <w:pStyle w:val="a5"/>
        <w:numPr>
          <w:ilvl w:val="0"/>
          <w:numId w:val="20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1B7EB0">
        <w:rPr>
          <w:rFonts w:asciiTheme="minorHAnsi" w:hAnsiTheme="minorHAnsi" w:cstheme="minorHAnsi"/>
          <w:b/>
          <w:sz w:val="22"/>
          <w:szCs w:val="22"/>
        </w:rPr>
        <w:t>Учет инвестиционного имущества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>Определение и первоначальное признание. Измерение при признании. Измерение после признания. Изменение статуса (переквалификация) объектов инвестиционного имущества Прекращение признания объектов инвестиционного имущества. Раскрытие информации.</w:t>
      </w:r>
    </w:p>
    <w:p w:rsidR="00550B9E" w:rsidRPr="001B7EB0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1B7EB0">
        <w:rPr>
          <w:rFonts w:cstheme="minorHAnsi"/>
          <w:b/>
        </w:rPr>
        <w:t xml:space="preserve">Учет основных средств 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>Признание, первоначальные затраты. Последующие затраты. Измерение при признании: элементы себестоимости, измерение себестоимости. Измерение после признания: модель учета по фактическим затратам, модель учета по переоцененной стоимости. Амортизация основных средств: амортизируемая величина и период амортизации основных средств, метод амортизации. Обесценение, компенсации обесценения. Прекращение признания основных средств. Раскрытие информации.</w:t>
      </w:r>
    </w:p>
    <w:p w:rsidR="00550B9E" w:rsidRPr="001B7EB0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1B7EB0">
        <w:rPr>
          <w:rFonts w:cstheme="minorHAnsi"/>
          <w:b/>
        </w:rPr>
        <w:t xml:space="preserve">Создание резерва по выбытию объектов из эксплуатации 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>Порядок расчета резерва при первоначальном признании обязательств по выводу объектов из эксплуатации. Изменения в оценке обязательств, отражение на счетах учета и в финансовой отчетности. Списание резерва</w:t>
      </w:r>
    </w:p>
    <w:p w:rsidR="00550B9E" w:rsidRPr="001B7EB0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1B7EB0">
        <w:rPr>
          <w:rFonts w:cstheme="minorHAnsi"/>
          <w:b/>
        </w:rPr>
        <w:t>Учет нематериальных активов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 xml:space="preserve">Признание и измерение. Отдельное приобретение. Приобретение в рамках объединения бизнеса: измерение справедливой стоимости нематериального актива, приобретенного в рамках сделки по </w:t>
      </w:r>
      <w:r w:rsidRPr="00550B9E">
        <w:rPr>
          <w:rFonts w:cstheme="minorHAnsi"/>
        </w:rPr>
        <w:lastRenderedPageBreak/>
        <w:t>объединению бизнеса. Приобретение при помощи государственных субсидий. Обмен активов. Самостоятельно созданные активы: стадия исследований и стадия разработки. Измерение после признания. Определение срока службы; списание стоимости (амортизация) и обесценение нематериальных активов. Прекращение признания нематериальных активов. Раскрытие информации</w:t>
      </w:r>
    </w:p>
    <w:p w:rsidR="00550B9E" w:rsidRPr="001B7EB0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1B7EB0">
        <w:rPr>
          <w:rFonts w:cstheme="minorHAnsi"/>
          <w:b/>
        </w:rPr>
        <w:t xml:space="preserve">Учет запасов. 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>Определение и измерение запасов. Формирование и учёт себестоимости: затраты на приобретение, затраты на переработку, прочие затраты, методы измерения себестоимости, способы расчета себестоимости.  Оценка запасов по чистой стоимости возможной продажи: определение и причины использования. Метод определения чистой стоимости реализации. Система учета запасов. Раскрытие информации.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>Понятия «запасы», «себестоимость» и «чистая реализационная стоимость».</w:t>
      </w:r>
    </w:p>
    <w:p w:rsidR="00550B9E" w:rsidRPr="001F213B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1F213B">
        <w:rPr>
          <w:rFonts w:cstheme="minorHAnsi"/>
          <w:b/>
        </w:rPr>
        <w:t>Влияние изменения обменных курсов валют</w:t>
      </w:r>
    </w:p>
    <w:p w:rsidR="00550B9E" w:rsidRPr="00550B9E" w:rsidRDefault="00550B9E" w:rsidP="001F213B">
      <w:pPr>
        <w:pStyle w:val="a5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0B9E">
        <w:rPr>
          <w:rFonts w:asciiTheme="minorHAnsi" w:hAnsiTheme="minorHAnsi" w:cstheme="minorHAnsi"/>
          <w:sz w:val="22"/>
          <w:szCs w:val="22"/>
        </w:rPr>
        <w:t>Функциональная валюта. Валюта представления. Чистые инвестиции в зарубежную деятельность. Монетарные и немонетарные статьи. Отражение операций в иностранных валютах в функциональной валюте: первоначальное признание, отражение в отчетности на следующие отчетные даты. Признание курсовых разниц. Использование валюты представления, которая отличается от функциональной валюты: перевод в валюту представления, пересчет финансовых отчетов зарубежных операций. Раскрытие информации.</w:t>
      </w:r>
    </w:p>
    <w:p w:rsidR="00550B9E" w:rsidRPr="001F213B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1F213B">
        <w:rPr>
          <w:rFonts w:cstheme="minorHAnsi"/>
          <w:b/>
        </w:rPr>
        <w:t xml:space="preserve">Учет аренды. </w:t>
      </w:r>
    </w:p>
    <w:p w:rsidR="00550B9E" w:rsidRPr="00550B9E" w:rsidRDefault="00550B9E" w:rsidP="001F213B">
      <w:pPr>
        <w:pStyle w:val="2"/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50B9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Классификация аренды. </w:t>
      </w:r>
    </w:p>
    <w:p w:rsidR="00550B9E" w:rsidRPr="00550B9E" w:rsidRDefault="00550B9E" w:rsidP="001F213B">
      <w:pPr>
        <w:pStyle w:val="2"/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50B9E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Отражение аренды в финансовой отчетности арендаторов.</w:t>
      </w:r>
      <w:r w:rsidRPr="00550B9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Финансовая аренда, первоначальное признание, последующее измерение. Операционная аренда.  </w:t>
      </w:r>
      <w:r w:rsidRPr="00550B9E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Отражение аренды в финансовой отчетности арендодателей</w:t>
      </w:r>
      <w:r w:rsidRPr="00550B9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Финансовая аренда, первоначальное признание, последующее измерение. Операционная аренда.  </w:t>
      </w:r>
    </w:p>
    <w:p w:rsidR="00550B9E" w:rsidRPr="00550B9E" w:rsidRDefault="00550B9E" w:rsidP="001F213B">
      <w:pPr>
        <w:pStyle w:val="2"/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50B9E">
        <w:rPr>
          <w:rFonts w:asciiTheme="minorHAnsi" w:hAnsiTheme="minorHAnsi" w:cstheme="minorHAnsi"/>
          <w:b w:val="0"/>
          <w:color w:val="auto"/>
          <w:sz w:val="22"/>
          <w:szCs w:val="22"/>
        </w:rPr>
        <w:t>Операция продажи с обратной арендой.</w:t>
      </w:r>
    </w:p>
    <w:p w:rsidR="00550B9E" w:rsidRPr="001F213B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bCs/>
        </w:rPr>
      </w:pPr>
      <w:r w:rsidRPr="001F213B">
        <w:rPr>
          <w:rFonts w:cstheme="minorHAnsi"/>
          <w:b/>
        </w:rPr>
        <w:t>Учет налога на прибыль</w:t>
      </w:r>
    </w:p>
    <w:p w:rsidR="00550B9E" w:rsidRPr="00550B9E" w:rsidRDefault="00550B9E" w:rsidP="001F213B">
      <w:pPr>
        <w:pStyle w:val="21"/>
        <w:spacing w:after="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50B9E">
        <w:rPr>
          <w:rFonts w:asciiTheme="minorHAnsi" w:hAnsiTheme="minorHAnsi" w:cstheme="minorHAnsi"/>
          <w:sz w:val="22"/>
          <w:szCs w:val="22"/>
        </w:rPr>
        <w:t>Признание текущих налоговых обязательств и текущих налоговых активов. Признание отложенных налоговых обязательств и налогооблагаемые временные разницы Признание отложенных налоговых активов и вычитаемые временные разниц. Признание текущего и отложенного налога.  Раскрытия в финансовой отчетности.</w:t>
      </w:r>
    </w:p>
    <w:p w:rsidR="00550B9E" w:rsidRPr="001F213B" w:rsidRDefault="00550B9E" w:rsidP="00550B9E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213B">
        <w:rPr>
          <w:rFonts w:asciiTheme="minorHAnsi" w:hAnsiTheme="minorHAnsi" w:cstheme="minorHAnsi"/>
          <w:b/>
          <w:sz w:val="22"/>
          <w:szCs w:val="22"/>
        </w:rPr>
        <w:t>Финансовые инструменты</w:t>
      </w:r>
    </w:p>
    <w:p w:rsidR="00550B9E" w:rsidRPr="00550B9E" w:rsidRDefault="00550B9E" w:rsidP="001F213B">
      <w:pPr>
        <w:pStyle w:val="3"/>
        <w:spacing w:after="0" w:line="240" w:lineRule="auto"/>
        <w:rPr>
          <w:rFonts w:cstheme="minorHAnsi"/>
          <w:sz w:val="22"/>
          <w:szCs w:val="22"/>
        </w:rPr>
      </w:pPr>
      <w:r w:rsidRPr="00550B9E">
        <w:rPr>
          <w:rFonts w:cstheme="minorHAnsi"/>
          <w:sz w:val="22"/>
          <w:szCs w:val="22"/>
        </w:rPr>
        <w:t>Признание и оценка финансовых инструментов. Категории финансовых активов; определения, связанные с признанием и оценкой. Первоначальная и последующая оценка финансовых активов и финансовых обязательств компании. Раскрытие информации</w:t>
      </w:r>
    </w:p>
    <w:p w:rsidR="00550B9E" w:rsidRPr="001F213B" w:rsidRDefault="00550B9E" w:rsidP="00550B9E">
      <w:pPr>
        <w:numPr>
          <w:ilvl w:val="0"/>
          <w:numId w:val="20"/>
        </w:numPr>
        <w:spacing w:after="0" w:line="240" w:lineRule="auto"/>
        <w:rPr>
          <w:rFonts w:cstheme="minorHAnsi"/>
          <w:b/>
        </w:rPr>
      </w:pPr>
      <w:r w:rsidRPr="001F213B">
        <w:rPr>
          <w:rFonts w:cstheme="minorHAnsi"/>
          <w:b/>
        </w:rPr>
        <w:t>Учет инвестиций в ассоциированные компании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 xml:space="preserve">Метод учета инвестиций в ассоциированные компании. </w:t>
      </w:r>
    </w:p>
    <w:p w:rsidR="00550B9E" w:rsidRPr="001F213B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1F213B">
        <w:rPr>
          <w:rFonts w:cstheme="minorHAnsi"/>
          <w:b/>
        </w:rPr>
        <w:t>Обесценение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>Понятие обесценения активов. Классификация актива, который может быть обесценен. Порядок проведения теста на обесценение актива. Учет убытка от обесценение и его восстановление. Раскрытие в финансовой отчетности</w:t>
      </w:r>
    </w:p>
    <w:p w:rsidR="00550B9E" w:rsidRPr="001F213B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1F213B">
        <w:rPr>
          <w:rFonts w:cstheme="minorHAnsi"/>
          <w:b/>
        </w:rPr>
        <w:t>Прочие разделы учетной политики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>Учет денежных средств и их эквивалентов. Учет труда и заработной платы. Учет доходов и расходов. Учет затрат по займам. Резервы, условные обязательства и активы. События после отчетной даты</w:t>
      </w:r>
    </w:p>
    <w:p w:rsidR="00550B9E" w:rsidRPr="001F213B" w:rsidRDefault="00550B9E" w:rsidP="00550B9E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1F213B">
        <w:rPr>
          <w:rFonts w:cstheme="minorHAnsi"/>
          <w:b/>
        </w:rPr>
        <w:t>Состав финансовой отчетности (МСБУ 1 «Представление финансовой отчетности»)</w:t>
      </w:r>
    </w:p>
    <w:p w:rsidR="00550B9E" w:rsidRPr="00550B9E" w:rsidRDefault="00550B9E" w:rsidP="001F213B">
      <w:pPr>
        <w:pStyle w:val="a5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0B9E">
        <w:rPr>
          <w:rFonts w:asciiTheme="minorHAnsi" w:hAnsiTheme="minorHAnsi" w:cstheme="minorHAnsi"/>
          <w:sz w:val="22"/>
          <w:szCs w:val="22"/>
        </w:rPr>
        <w:t>Цель финансовой отчетности. Общие требования к представлению финансовой отчетности. Требования по структуре и содержанию финансовой отчетности. Состав финансовой отчетности. Принципы и качественные характеристики финансовой отчетности</w:t>
      </w:r>
    </w:p>
    <w:p w:rsidR="00550B9E" w:rsidRPr="001F213B" w:rsidRDefault="00550B9E" w:rsidP="001F213B">
      <w:pPr>
        <w:spacing w:after="0" w:line="240" w:lineRule="auto"/>
        <w:ind w:firstLine="360"/>
        <w:jc w:val="both"/>
        <w:rPr>
          <w:rFonts w:cstheme="minorHAnsi"/>
          <w:b/>
        </w:rPr>
      </w:pPr>
      <w:r w:rsidRPr="001F213B">
        <w:rPr>
          <w:rFonts w:cstheme="minorHAnsi"/>
          <w:b/>
        </w:rPr>
        <w:t>2в. Инвентаризация имущества и расчетов.</w:t>
      </w:r>
    </w:p>
    <w:p w:rsidR="00550B9E" w:rsidRPr="00550B9E" w:rsidRDefault="00550B9E" w:rsidP="001F213B">
      <w:pPr>
        <w:spacing w:after="0" w:line="240" w:lineRule="auto"/>
        <w:jc w:val="both"/>
        <w:rPr>
          <w:rFonts w:cstheme="minorHAnsi"/>
        </w:rPr>
      </w:pPr>
      <w:r w:rsidRPr="00550B9E">
        <w:rPr>
          <w:rFonts w:cstheme="minorHAnsi"/>
        </w:rPr>
        <w:t>Периодичность и порядок проведения инвентаризации имущества и расчетов компании. Рассмотрение и утверждение результатов инвентаризации.</w:t>
      </w:r>
    </w:p>
    <w:p w:rsidR="00550B9E" w:rsidRPr="001F213B" w:rsidRDefault="00550B9E" w:rsidP="001F213B">
      <w:pPr>
        <w:spacing w:after="0" w:line="240" w:lineRule="auto"/>
        <w:ind w:firstLine="426"/>
        <w:jc w:val="both"/>
        <w:rPr>
          <w:rFonts w:cstheme="minorHAnsi"/>
          <w:b/>
        </w:rPr>
      </w:pPr>
      <w:r w:rsidRPr="001F213B">
        <w:rPr>
          <w:rFonts w:cstheme="minorHAnsi"/>
          <w:b/>
        </w:rPr>
        <w:t>2г. Приложения к учетной политике и рабочий план счетов</w:t>
      </w:r>
    </w:p>
    <w:p w:rsidR="00550B9E" w:rsidRPr="00550B9E" w:rsidRDefault="00550B9E" w:rsidP="00550B9E">
      <w:pPr>
        <w:spacing w:after="0" w:line="240" w:lineRule="auto"/>
        <w:rPr>
          <w:rFonts w:cstheme="minorHAnsi"/>
        </w:rPr>
      </w:pPr>
      <w:r w:rsidRPr="00550B9E">
        <w:rPr>
          <w:rFonts w:cstheme="minorHAnsi"/>
        </w:rPr>
        <w:t>Состав приложений к учетной политике.</w:t>
      </w:r>
    </w:p>
    <w:p w:rsidR="00CA0F18" w:rsidRPr="00550B9E" w:rsidRDefault="00CA0F18" w:rsidP="001F213B">
      <w:pPr>
        <w:pStyle w:val="a5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CA0F18" w:rsidRPr="00550B9E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6"/>
  </w:num>
  <w:num w:numId="5">
    <w:abstractNumId w:val="9"/>
  </w:num>
  <w:num w:numId="6">
    <w:abstractNumId w:val="13"/>
  </w:num>
  <w:num w:numId="7">
    <w:abstractNumId w:val="14"/>
  </w:num>
  <w:num w:numId="8">
    <w:abstractNumId w:val="12"/>
  </w:num>
  <w:num w:numId="9">
    <w:abstractNumId w:val="5"/>
  </w:num>
  <w:num w:numId="10">
    <w:abstractNumId w:val="20"/>
  </w:num>
  <w:num w:numId="11">
    <w:abstractNumId w:val="3"/>
  </w:num>
  <w:num w:numId="12">
    <w:abstractNumId w:val="18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1"/>
  </w:num>
  <w:num w:numId="19">
    <w:abstractNumId w:val="7"/>
  </w:num>
  <w:num w:numId="20">
    <w:abstractNumId w:val="1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B582A"/>
    <w:rsid w:val="001B7EB0"/>
    <w:rsid w:val="001F213B"/>
    <w:rsid w:val="00256187"/>
    <w:rsid w:val="002E4249"/>
    <w:rsid w:val="003F18BA"/>
    <w:rsid w:val="0048743B"/>
    <w:rsid w:val="00550B9E"/>
    <w:rsid w:val="0085612B"/>
    <w:rsid w:val="008C0D70"/>
    <w:rsid w:val="008C7938"/>
    <w:rsid w:val="009102CA"/>
    <w:rsid w:val="0095393E"/>
    <w:rsid w:val="00B35156"/>
    <w:rsid w:val="00C27B37"/>
    <w:rsid w:val="00CA0F18"/>
    <w:rsid w:val="00CB17DF"/>
    <w:rsid w:val="00CC4300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2014-12-10T09:33:00Z</dcterms:created>
  <dcterms:modified xsi:type="dcterms:W3CDTF">2015-01-20T09:59:00Z</dcterms:modified>
</cp:coreProperties>
</file>